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6F2D6" w14:textId="7DA2CB8A" w:rsidR="001B68D5" w:rsidRPr="004F274B" w:rsidRDefault="004F274B" w:rsidP="004F274B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4F274B">
        <w:rPr>
          <w:rFonts w:ascii="Times New Roman" w:hAnsi="Times New Roman" w:cs="Times New Roman"/>
          <w:b/>
          <w:bCs/>
          <w:sz w:val="24"/>
        </w:rPr>
        <w:t>Supplementary</w:t>
      </w:r>
      <w:r>
        <w:rPr>
          <w:rFonts w:ascii="Times New Roman" w:hAnsi="Times New Roman" w:cs="Times New Roman" w:hint="eastAsia"/>
          <w:b/>
          <w:bCs/>
          <w:sz w:val="24"/>
        </w:rPr>
        <w:t xml:space="preserve"> </w:t>
      </w:r>
      <w:r w:rsidRPr="004F274B">
        <w:rPr>
          <w:rFonts w:ascii="Times New Roman" w:hAnsi="Times New Roman" w:cs="Times New Roman"/>
          <w:b/>
          <w:bCs/>
          <w:sz w:val="24"/>
        </w:rPr>
        <w:t>Fig</w:t>
      </w:r>
      <w:r w:rsidR="00391F82">
        <w:rPr>
          <w:rFonts w:ascii="Times New Roman" w:hAnsi="Times New Roman" w:cs="Times New Roman" w:hint="eastAsia"/>
          <w:b/>
          <w:bCs/>
          <w:sz w:val="24"/>
        </w:rPr>
        <w:t>.</w:t>
      </w:r>
      <w:r>
        <w:rPr>
          <w:rFonts w:ascii="Times New Roman" w:hAnsi="Times New Roman" w:cs="Times New Roman" w:hint="eastAsia"/>
          <w:b/>
          <w:bCs/>
          <w:sz w:val="24"/>
        </w:rPr>
        <w:t xml:space="preserve"> </w:t>
      </w:r>
      <w:r w:rsidRPr="004F274B">
        <w:rPr>
          <w:rFonts w:ascii="Times New Roman" w:hAnsi="Times New Roman" w:cs="Times New Roman"/>
          <w:b/>
          <w:bCs/>
          <w:sz w:val="24"/>
        </w:rPr>
        <w:t>1</w:t>
      </w:r>
    </w:p>
    <w:p w14:paraId="47FB2C53" w14:textId="042D2449" w:rsidR="004F274B" w:rsidRPr="004F274B" w:rsidRDefault="00D914D0" w:rsidP="004F274B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52D5AA48" wp14:editId="683D2A5A">
            <wp:extent cx="5274310" cy="4544060"/>
            <wp:effectExtent l="0" t="0" r="2540" b="8890"/>
            <wp:docPr id="168265128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651287" name="图片 168265128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4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4D28E" w14:textId="7CA118BA" w:rsidR="004F274B" w:rsidRPr="004F274B" w:rsidRDefault="004F274B">
      <w:pPr>
        <w:rPr>
          <w:rFonts w:ascii="Times New Roman" w:hAnsi="Times New Roman" w:cs="Times New Roman"/>
          <w:sz w:val="24"/>
        </w:rPr>
      </w:pPr>
      <w:r w:rsidRPr="004F274B">
        <w:rPr>
          <w:rFonts w:ascii="Times New Roman" w:hAnsi="Times New Roman" w:cs="Times New Roman"/>
          <w:b/>
          <w:bCs/>
          <w:sz w:val="24"/>
        </w:rPr>
        <w:t>Supplementary Fig</w:t>
      </w:r>
      <w:r w:rsidR="00BB5542">
        <w:rPr>
          <w:rFonts w:ascii="Times New Roman" w:hAnsi="Times New Roman" w:cs="Times New Roman" w:hint="eastAsia"/>
          <w:b/>
          <w:bCs/>
          <w:sz w:val="24"/>
        </w:rPr>
        <w:t>.</w:t>
      </w:r>
      <w:r w:rsidRPr="004F274B">
        <w:rPr>
          <w:rFonts w:ascii="Times New Roman" w:hAnsi="Times New Roman" w:cs="Times New Roman"/>
          <w:b/>
          <w:bCs/>
          <w:sz w:val="24"/>
        </w:rPr>
        <w:t xml:space="preserve"> 1. Association between PDE4DIP expression and overall survival in TCGA-LIHC.</w:t>
      </w:r>
      <w:r>
        <w:rPr>
          <w:rFonts w:ascii="Times New Roman" w:hAnsi="Times New Roman" w:cs="Times New Roman" w:hint="eastAsia"/>
          <w:b/>
          <w:bCs/>
          <w:sz w:val="24"/>
        </w:rPr>
        <w:t xml:space="preserve"> </w:t>
      </w:r>
      <w:r w:rsidRPr="004F274B">
        <w:rPr>
          <w:rFonts w:ascii="Times New Roman" w:hAnsi="Times New Roman" w:cs="Times New Roman"/>
          <w:sz w:val="24"/>
        </w:rPr>
        <w:t>Patients with primary-tumor expression data and valid overall survival data were divided into PDE4DIP-low and PDE4DIP-high groups according to the median log2(TPM + 1) expression value. Kaplan–Meier curves were compared with the log-rank test. Vertical marks indicate censored observations, and the number-at-risk table is shown below the curves. No significant difference in overall survival was observed between the two groups (n = 366; 183 patients per group; log-rank P = 0.123).</w:t>
      </w:r>
    </w:p>
    <w:sectPr w:rsidR="004F274B" w:rsidRPr="004F27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0393B" w14:textId="77777777" w:rsidR="00D15733" w:rsidRDefault="00D15733" w:rsidP="004F274B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44FA068" w14:textId="77777777" w:rsidR="00D15733" w:rsidRDefault="00D15733" w:rsidP="004F274B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85A14" w14:textId="77777777" w:rsidR="00D15733" w:rsidRDefault="00D15733" w:rsidP="004F274B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7C32683" w14:textId="77777777" w:rsidR="00D15733" w:rsidRDefault="00D15733" w:rsidP="004F274B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8D5"/>
    <w:rsid w:val="001542CC"/>
    <w:rsid w:val="001B68D5"/>
    <w:rsid w:val="00391F82"/>
    <w:rsid w:val="004C76B4"/>
    <w:rsid w:val="004F274B"/>
    <w:rsid w:val="00551A9E"/>
    <w:rsid w:val="005E15D4"/>
    <w:rsid w:val="009A77DF"/>
    <w:rsid w:val="009F5330"/>
    <w:rsid w:val="00BB5542"/>
    <w:rsid w:val="00C819A3"/>
    <w:rsid w:val="00D04980"/>
    <w:rsid w:val="00D15733"/>
    <w:rsid w:val="00D9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64688C1"/>
  <w14:defaultImageDpi w14:val="32767"/>
  <w15:chartTrackingRefBased/>
  <w15:docId w15:val="{223F2E3B-D3E2-4A74-972B-ECBC7E666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B68D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68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68D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68D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68D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68D5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68D5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68D5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68D5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B68D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B68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B68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B68D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B68D5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B68D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B68D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B68D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B68D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B68D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B68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B68D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B68D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B68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B68D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B68D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B68D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B68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B68D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B68D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F274B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F274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F274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F27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86</Words>
  <Characters>517</Characters>
  <Application>Microsoft Office Word</Application>
  <DocSecurity>0</DocSecurity>
  <Lines>10</Lines>
  <Paragraphs>2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Charlie W</dc:creator>
  <cp:keywords/>
  <dc:description/>
  <cp:lastModifiedBy>Kyle</cp:lastModifiedBy>
  <cp:revision>6</cp:revision>
  <dcterms:created xsi:type="dcterms:W3CDTF">2026-08-11T10:23:00Z</dcterms:created>
  <dcterms:modified xsi:type="dcterms:W3CDTF">2026-08-14T05:09:00Z</dcterms:modified>
</cp:coreProperties>
</file>